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5D6A" w:rsidRPr="00D75D6A" w:rsidRDefault="00D75D6A" w:rsidP="00D75D6A">
      <w:pPr>
        <w:pStyle w:val="ListParagraph"/>
        <w:spacing w:after="120"/>
        <w:ind w:left="644"/>
        <w:outlineLvl w:val="2"/>
        <w:rPr>
          <w:rFonts w:ascii="Times New Roman" w:hAnsi="Times New Roman"/>
          <w:b/>
          <w:color w:val="auto"/>
          <w:sz w:val="24"/>
          <w:szCs w:val="24"/>
          <w:lang w:val="bg-BG"/>
        </w:rPr>
      </w:pPr>
      <w:bookmarkStart w:id="0" w:name="_Toc319052292"/>
      <w:bookmarkStart w:id="1" w:name="_Toc319052532"/>
      <w:bookmarkStart w:id="2" w:name="_Toc319185908"/>
    </w:p>
    <w:p w:rsidR="006E36BE" w:rsidRPr="006E36BE" w:rsidRDefault="00D75D6A" w:rsidP="00D75D6A">
      <w:pPr>
        <w:pStyle w:val="ListParagraph"/>
        <w:numPr>
          <w:ilvl w:val="1"/>
          <w:numId w:val="7"/>
        </w:numPr>
        <w:shd w:val="clear" w:color="auto" w:fill="D9E2F3" w:themeFill="accent5" w:themeFillTint="33"/>
        <w:spacing w:after="120"/>
        <w:outlineLvl w:val="2"/>
        <w:rPr>
          <w:rFonts w:ascii="Times New Roman" w:hAnsi="Times New Roman"/>
          <w:b/>
          <w:color w:val="auto"/>
          <w:sz w:val="24"/>
          <w:szCs w:val="24"/>
          <w:lang w:val="bg-BG"/>
        </w:rPr>
      </w:pPr>
      <w:r>
        <w:rPr>
          <w:rFonts w:ascii="Times New Roman" w:hAnsi="Times New Roman"/>
          <w:b/>
          <w:color w:val="auto"/>
          <w:sz w:val="24"/>
          <w:szCs w:val="24"/>
          <w:lang w:val="bg-BG"/>
        </w:rPr>
        <w:t xml:space="preserve"> </w:t>
      </w:r>
      <w:r w:rsidR="006E36BE" w:rsidRPr="006E36BE">
        <w:rPr>
          <w:rFonts w:ascii="Times New Roman" w:hAnsi="Times New Roman"/>
          <w:b/>
          <w:color w:val="auto"/>
          <w:sz w:val="24"/>
          <w:szCs w:val="24"/>
          <w:lang w:val="bg-BG"/>
        </w:rPr>
        <w:t>ЗЕЛЕНИ ПЛОЩИ В НАСЕЛЕНИТЕ МЕСТА.</w:t>
      </w:r>
      <w:bookmarkEnd w:id="0"/>
      <w:bookmarkEnd w:id="1"/>
      <w:bookmarkEnd w:id="2"/>
    </w:p>
    <w:p w:rsidR="00D75D6A" w:rsidRDefault="00D75D6A" w:rsidP="00D75D6A">
      <w:pPr>
        <w:pStyle w:val="ListParagraph"/>
        <w:shd w:val="clear" w:color="auto" w:fill="FFFFFF"/>
        <w:spacing w:before="120" w:after="0" w:line="276" w:lineRule="auto"/>
        <w:ind w:left="284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</w:pPr>
    </w:p>
    <w:p w:rsidR="006E36BE" w:rsidRDefault="006E36BE" w:rsidP="00D75D6A">
      <w:pPr>
        <w:pStyle w:val="ListParagraph"/>
        <w:shd w:val="clear" w:color="auto" w:fill="FFFFFF"/>
        <w:spacing w:before="120" w:after="0" w:line="276" w:lineRule="auto"/>
        <w:ind w:left="284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</w:rPr>
      </w:pP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Зелените площи на територията на град Разград заемат площ от 1</w:t>
      </w:r>
      <w:r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 xml:space="preserve">768 дка.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Най-голямото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зелено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петно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е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Градският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парк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който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заема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територия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от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100 000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кв.м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.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Вторият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големина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е "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Младежкия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парк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".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Зелени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площи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има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и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пред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хотел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"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Абритус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" –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Градската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градина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парка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"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Кладенец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" и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Ларгото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.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Любимите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места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за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разходки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на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разградчани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са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парковете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,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както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и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местността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"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Пчелина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".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Много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от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междублоковите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пространства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в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града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бяха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облагородени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и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финансирани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частично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от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 xml:space="preserve">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общината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</w:rPr>
        <w:t>.</w:t>
      </w:r>
    </w:p>
    <w:p w:rsidR="006E36BE" w:rsidRDefault="006E36BE" w:rsidP="006E36BE">
      <w:pPr>
        <w:pStyle w:val="ListParagraph"/>
        <w:shd w:val="clear" w:color="auto" w:fill="FFFFFF"/>
        <w:spacing w:before="120" w:after="0"/>
        <w:ind w:left="284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</w:pP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Зелените площи в града според начин на поддържане се разделят на:</w:t>
      </w:r>
    </w:p>
    <w:p w:rsidR="006E36BE" w:rsidRPr="00757FEB" w:rsidRDefault="006E36BE" w:rsidP="006E36BE">
      <w:pPr>
        <w:pStyle w:val="ListParagraph"/>
        <w:numPr>
          <w:ilvl w:val="0"/>
          <w:numId w:val="2"/>
        </w:numPr>
        <w:shd w:val="clear" w:color="auto" w:fill="FFFFFF"/>
        <w:spacing w:before="120" w:after="0"/>
        <w:ind w:left="284" w:firstLine="0"/>
        <w:contextualSpacing w:val="0"/>
        <w:jc w:val="both"/>
        <w:rPr>
          <w:rFonts w:ascii="Times New Roman" w:hAnsi="Times New Roman"/>
          <w:b/>
          <w:i/>
          <w:color w:val="auto"/>
          <w:sz w:val="24"/>
          <w:szCs w:val="24"/>
          <w:shd w:val="clear" w:color="auto" w:fill="F9F9F9"/>
          <w:lang w:val="bg-BG"/>
        </w:rPr>
      </w:pPr>
      <w:r w:rsidRPr="00430302">
        <w:rPr>
          <w:rFonts w:ascii="Times New Roman" w:hAnsi="Times New Roman"/>
          <w:b/>
          <w:i/>
          <w:color w:val="auto"/>
          <w:sz w:val="24"/>
          <w:szCs w:val="24"/>
          <w:shd w:val="clear" w:color="auto" w:fill="FFFFFF"/>
          <w:lang w:val="bg-BG"/>
        </w:rPr>
        <w:t>Зелени площи с представително поддържане с обща площ 83 дка:</w:t>
      </w:r>
    </w:p>
    <w:p w:rsidR="006E36BE" w:rsidRPr="00757FEB" w:rsidRDefault="006E36BE" w:rsidP="006E36BE">
      <w:pPr>
        <w:pStyle w:val="ListParagraph"/>
        <w:numPr>
          <w:ilvl w:val="0"/>
          <w:numId w:val="3"/>
        </w:numPr>
        <w:shd w:val="clear" w:color="auto" w:fill="FFFFFF"/>
        <w:spacing w:before="120" w:after="0"/>
        <w:ind w:left="284" w:firstLine="0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Градска градина до часовниковата кула, разположена пред териториално данъчно управление;</w:t>
      </w:r>
    </w:p>
    <w:p w:rsidR="006E36BE" w:rsidRPr="00757FEB" w:rsidRDefault="006E36BE" w:rsidP="006E36BE">
      <w:pPr>
        <w:pStyle w:val="ListParagraph"/>
        <w:numPr>
          <w:ilvl w:val="0"/>
          <w:numId w:val="3"/>
        </w:numPr>
        <w:shd w:val="clear" w:color="auto" w:fill="FFFFFF"/>
        <w:spacing w:before="120" w:after="0"/>
        <w:ind w:left="284" w:firstLine="0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Зелени площи около Общински културен център, Хуманитарна гимназия „Илия Петров” и НЗОК;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 xml:space="preserve">3.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кло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>н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ове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Момина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чешма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",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двете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страни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стълбите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х-л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Разград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Момина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чешма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",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пред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около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Средношколско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общежитие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3"/>
          <w:sz w:val="24"/>
          <w:szCs w:val="24"/>
          <w:lang w:val="bg-BG"/>
        </w:rPr>
        <w:t xml:space="preserve">4.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двете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страни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бул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България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" </w:t>
      </w:r>
      <w:proofErr w:type="spellStart"/>
      <w:proofErr w:type="gram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джамията</w:t>
      </w:r>
      <w:proofErr w:type="spellEnd"/>
      <w:proofErr w:type="gram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Странджа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 xml:space="preserve">5.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Градина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пред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х-л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Централ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"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градина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западно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"БИЛЛА".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2"/>
          <w:sz w:val="24"/>
          <w:szCs w:val="24"/>
          <w:lang w:val="bg-BG"/>
        </w:rPr>
        <w:t xml:space="preserve">6.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Дунав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"  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 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.   "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Паркова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"  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 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.</w:t>
      </w:r>
      <w:r w:rsidRPr="00757FEB">
        <w:rPr>
          <w:rFonts w:ascii="Times New Roman" w:hAnsi="Times New Roman"/>
          <w:color w:val="auto"/>
          <w:sz w:val="24"/>
          <w:szCs w:val="24"/>
        </w:rPr>
        <w:t>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Странджа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>7.</w:t>
      </w: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Градина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пред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Държавен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архив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 xml:space="preserve">8.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клоцове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Възраждане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1"/>
          <w:sz w:val="24"/>
          <w:szCs w:val="24"/>
          <w:lang w:val="bg-BG"/>
        </w:rPr>
        <w:t xml:space="preserve">9.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клоцове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бул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Бели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Лом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РБ 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Б.Пенев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r w:rsidRPr="00757FEB">
        <w:rPr>
          <w:rFonts w:ascii="Times New Roman" w:hAnsi="Times New Roman"/>
          <w:color w:val="auto"/>
          <w:sz w:val="24"/>
          <w:szCs w:val="24"/>
        </w:rPr>
        <w:t xml:space="preserve">х-л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Централ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4"/>
          <w:sz w:val="24"/>
          <w:szCs w:val="24"/>
          <w:lang w:val="bg-BG"/>
        </w:rPr>
        <w:t xml:space="preserve">10.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бул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Бели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Лом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Пазара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."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Цар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>Асен</w:t>
      </w:r>
      <w:proofErr w:type="spellEnd"/>
      <w:r w:rsidRPr="00757FEB">
        <w:rPr>
          <w:rFonts w:ascii="Times New Roman" w:hAnsi="Times New Roman"/>
          <w:color w:val="auto"/>
          <w:spacing w:val="4"/>
          <w:sz w:val="24"/>
          <w:szCs w:val="24"/>
        </w:rPr>
        <w:t xml:space="preserve">",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клоца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Окръжен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съд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площите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Паспортна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служба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>11.</w:t>
      </w: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Градина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Независимост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-1"/>
          <w:sz w:val="24"/>
          <w:szCs w:val="24"/>
          <w:lang w:val="bg-BG"/>
        </w:rPr>
        <w:t>12.</w:t>
      </w:r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клоцове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двете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страни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В.Левски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. </w:t>
      </w:r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Дунав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."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Княз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Борис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2"/>
          <w:sz w:val="24"/>
          <w:szCs w:val="24"/>
          <w:lang w:val="bg-BG"/>
        </w:rPr>
        <w:t>13.</w:t>
      </w:r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клоцове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Паркова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”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пл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. „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Възраждане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входа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Северен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градски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парк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shd w:val="clear" w:color="auto" w:fill="FFFFFF"/>
        <w:spacing w:before="120" w:after="0"/>
        <w:ind w:left="284"/>
        <w:jc w:val="both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>14.</w:t>
      </w: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пред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Дом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техниката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ДМШ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Илия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Бърнев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pStyle w:val="ListParagraph"/>
        <w:numPr>
          <w:ilvl w:val="0"/>
          <w:numId w:val="4"/>
        </w:numPr>
        <w:spacing w:before="120" w:after="0"/>
        <w:ind w:left="284" w:firstLine="0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около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спортна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зала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"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Лудогорец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".</w:t>
      </w:r>
    </w:p>
    <w:p w:rsidR="006E36BE" w:rsidRPr="00757FEB" w:rsidRDefault="006E36BE" w:rsidP="006E36BE">
      <w:pPr>
        <w:pStyle w:val="ListParagraph"/>
        <w:numPr>
          <w:ilvl w:val="0"/>
          <w:numId w:val="2"/>
        </w:numPr>
        <w:spacing w:before="120" w:after="0"/>
        <w:ind w:left="284" w:firstLine="0"/>
        <w:contextualSpacing w:val="0"/>
        <w:rPr>
          <w:rFonts w:ascii="Times New Roman" w:hAnsi="Times New Roman"/>
          <w:b/>
          <w:i/>
          <w:color w:val="auto"/>
          <w:sz w:val="24"/>
          <w:szCs w:val="24"/>
          <w:shd w:val="clear" w:color="auto" w:fill="F9F9F9"/>
          <w:lang w:val="bg-BG"/>
        </w:rPr>
      </w:pPr>
      <w:r w:rsidRPr="00430302">
        <w:rPr>
          <w:rFonts w:ascii="Times New Roman" w:hAnsi="Times New Roman"/>
          <w:b/>
          <w:i/>
          <w:color w:val="auto"/>
          <w:sz w:val="24"/>
          <w:szCs w:val="24"/>
          <w:shd w:val="clear" w:color="auto" w:fill="FFFFFF"/>
          <w:lang w:val="bg-BG"/>
        </w:rPr>
        <w:t>Зелени площи с интензивно поддържане – над 400 дка: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Свети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Климент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кв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Абритус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Храм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Св.Николай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междублокови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пространства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Автогарата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Независимост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lastRenderedPageBreak/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двете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страни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в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средата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бул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Априлско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въстание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Авгогарата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Селскостопанския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техникум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tabs>
          <w:tab w:val="left" w:pos="709"/>
        </w:tabs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Княз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Борис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"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Исперихски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път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. "В.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Левски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междублокови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пространства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между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бул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"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Априлско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  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въстание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",  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.   "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Перистър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",  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.   "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Добруджа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",  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 xml:space="preserve">. </w:t>
      </w:r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Мраморно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море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" и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В.Левски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около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Младежки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дом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proofErr w:type="gramStart"/>
      <w:r w:rsidRPr="00757FEB">
        <w:rPr>
          <w:rFonts w:ascii="Times New Roman" w:hAnsi="Times New Roman"/>
          <w:color w:val="auto"/>
          <w:sz w:val="24"/>
          <w:szCs w:val="24"/>
        </w:rPr>
        <w:t>междублокови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пространства</w:t>
      </w:r>
      <w:proofErr w:type="spellEnd"/>
      <w:proofErr w:type="gramEnd"/>
      <w:r w:rsidRPr="00757FEB">
        <w:rPr>
          <w:rFonts w:ascii="Times New Roman" w:hAnsi="Times New Roman"/>
          <w:color w:val="auto"/>
          <w:sz w:val="24"/>
          <w:szCs w:val="24"/>
        </w:rPr>
        <w:t xml:space="preserve"> в ЖК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В.Левски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Северен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градски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парк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-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терена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между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главния</w:t>
      </w:r>
      <w:proofErr w:type="spellEnd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>вход</w:t>
      </w:r>
      <w:proofErr w:type="spellEnd"/>
      <w:proofErr w:type="gramStart"/>
      <w:r w:rsidRPr="00757FEB">
        <w:rPr>
          <w:rFonts w:ascii="Times New Roman" w:hAnsi="Times New Roman"/>
          <w:color w:val="auto"/>
          <w:spacing w:val="2"/>
          <w:sz w:val="24"/>
          <w:szCs w:val="24"/>
        </w:rPr>
        <w:t xml:space="preserve">, 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Пантеона</w:t>
      </w:r>
      <w:proofErr w:type="spellEnd"/>
      <w:proofErr w:type="gramEnd"/>
      <w:r w:rsidRPr="00757FEB">
        <w:rPr>
          <w:rFonts w:ascii="Times New Roman" w:hAnsi="Times New Roman"/>
          <w:color w:val="auto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Спортен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к-с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Д.Стефанов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 и МБАЛ.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Зелени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площи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ул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 "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П.Берон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5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Северен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градски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парк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/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южна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част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/.</w:t>
      </w:r>
    </w:p>
    <w:p w:rsidR="006E36BE" w:rsidRPr="00757FEB" w:rsidRDefault="006E36BE" w:rsidP="006E36BE">
      <w:pPr>
        <w:pStyle w:val="ListParagraph"/>
        <w:numPr>
          <w:ilvl w:val="0"/>
          <w:numId w:val="2"/>
        </w:numPr>
        <w:spacing w:before="120" w:after="0"/>
        <w:ind w:left="284" w:firstLine="0"/>
        <w:contextualSpacing w:val="0"/>
        <w:rPr>
          <w:rFonts w:ascii="Times New Roman" w:hAnsi="Times New Roman"/>
          <w:b/>
          <w:i/>
          <w:color w:val="auto"/>
          <w:sz w:val="24"/>
          <w:szCs w:val="24"/>
          <w:shd w:val="clear" w:color="auto" w:fill="F9F9F9"/>
          <w:lang w:val="bg-BG"/>
        </w:rPr>
      </w:pPr>
      <w:r w:rsidRPr="00757FEB">
        <w:rPr>
          <w:rFonts w:ascii="Times New Roman" w:hAnsi="Times New Roman"/>
          <w:b/>
          <w:i/>
          <w:color w:val="auto"/>
          <w:sz w:val="24"/>
          <w:szCs w:val="24"/>
          <w:shd w:val="clear" w:color="auto" w:fill="F9F9F9"/>
          <w:lang w:val="bg-BG"/>
        </w:rPr>
        <w:t>Зелени площи с екстензивно поддържане – над 600 дка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Северен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градски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парк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/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северна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част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/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Пантеона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МБАЛ.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Храсти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двете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страни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входната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магистрала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Главния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път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Варна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Автогарата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</w:t>
      </w:r>
      <w:proofErr w:type="spellStart"/>
      <w:proofErr w:type="gram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Квартал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 "</w:t>
      </w:r>
      <w:proofErr w:type="spellStart"/>
      <w:proofErr w:type="gram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Абритус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"  - 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междублокови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 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пространства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,  </w:t>
      </w:r>
      <w:proofErr w:type="spellStart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>улици</w:t>
      </w:r>
      <w:proofErr w:type="spellEnd"/>
      <w:r w:rsidRPr="00757FEB">
        <w:rPr>
          <w:rFonts w:ascii="Times New Roman" w:hAnsi="Times New Roman"/>
          <w:color w:val="auto"/>
          <w:spacing w:val="3"/>
          <w:sz w:val="24"/>
          <w:szCs w:val="24"/>
        </w:rPr>
        <w:t xml:space="preserve"> 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прилежащи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терени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Източен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градски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парк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tabs>
          <w:tab w:val="left" w:pos="851"/>
        </w:tabs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Път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ЖП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Гара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Опасен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завой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надлеза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>околовръстния</w:t>
      </w:r>
      <w:proofErr w:type="spellEnd"/>
      <w:r w:rsidRPr="00757FEB">
        <w:rPr>
          <w:rFonts w:ascii="Times New Roman" w:hAnsi="Times New Roman"/>
          <w:color w:val="auto"/>
          <w:spacing w:val="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път</w:t>
      </w:r>
      <w:proofErr w:type="spellEnd"/>
      <w:r w:rsidRPr="00757FEB">
        <w:rPr>
          <w:rFonts w:ascii="Times New Roman" w:hAnsi="Times New Roman"/>
          <w:color w:val="auto"/>
          <w:spacing w:val="-1"/>
          <w:sz w:val="24"/>
          <w:szCs w:val="24"/>
        </w:rPr>
        <w:t>.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Терени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в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Промишлена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зона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.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Скат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Автогара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Разград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околовръстния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път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ЖК „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Орел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Озеленени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терени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в ЖК „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Орел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>".</w:t>
      </w:r>
    </w:p>
    <w:p w:rsidR="006E36BE" w:rsidRPr="00757FEB" w:rsidRDefault="006E36BE" w:rsidP="006E36BE">
      <w:pPr>
        <w:numPr>
          <w:ilvl w:val="0"/>
          <w:numId w:val="6"/>
        </w:numPr>
        <w:shd w:val="clear" w:color="auto" w:fill="FFFFFF"/>
        <w:spacing w:before="120" w:after="0"/>
        <w:ind w:left="284" w:firstLine="0"/>
        <w:rPr>
          <w:rFonts w:ascii="Times New Roman" w:hAnsi="Times New Roman"/>
          <w:color w:val="auto"/>
          <w:sz w:val="24"/>
          <w:szCs w:val="24"/>
        </w:rPr>
      </w:pPr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Озеленени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терени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двете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страни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р.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Бели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Лом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във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вътрешността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кварталите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незастроени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>общински</w:t>
      </w:r>
      <w:proofErr w:type="spellEnd"/>
      <w:r w:rsidRPr="00757FEB">
        <w:rPr>
          <w:rFonts w:ascii="Times New Roman" w:hAnsi="Times New Roman"/>
          <w:color w:val="auto"/>
          <w:spacing w:val="1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терени</w:t>
      </w:r>
      <w:proofErr w:type="spellEnd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др</w:t>
      </w:r>
      <w:proofErr w:type="spellEnd"/>
      <w:proofErr w:type="gramStart"/>
      <w:r w:rsidRPr="00757FEB">
        <w:rPr>
          <w:rFonts w:ascii="Times New Roman" w:hAnsi="Times New Roman"/>
          <w:color w:val="auto"/>
          <w:spacing w:val="-2"/>
          <w:sz w:val="24"/>
          <w:szCs w:val="24"/>
        </w:rPr>
        <w:t>..</w:t>
      </w:r>
      <w:proofErr w:type="gramEnd"/>
    </w:p>
    <w:p w:rsidR="006E36BE" w:rsidRPr="00757FEB" w:rsidRDefault="006E36BE" w:rsidP="006E36BE">
      <w:pPr>
        <w:pStyle w:val="ListParagraph"/>
        <w:spacing w:before="120" w:after="0"/>
        <w:ind w:left="284"/>
        <w:contextualSpacing w:val="0"/>
        <w:rPr>
          <w:rFonts w:ascii="Times New Roman" w:hAnsi="Times New Roman"/>
          <w:color w:val="auto"/>
          <w:sz w:val="24"/>
          <w:szCs w:val="24"/>
          <w:lang w:val="bg-BG"/>
        </w:rPr>
      </w:pPr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>Дейностите по поддържане и почистване на зелените площи на територията на град Разград се изпълняват от Общинско предприятие „</w:t>
      </w:r>
      <w:proofErr w:type="spellStart"/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>Паркстрой</w:t>
      </w:r>
      <w:proofErr w:type="spellEnd"/>
      <w:r w:rsidRPr="00757FEB">
        <w:rPr>
          <w:rFonts w:ascii="Times New Roman" w:hAnsi="Times New Roman"/>
          <w:color w:val="auto"/>
          <w:sz w:val="24"/>
          <w:szCs w:val="24"/>
          <w:lang w:val="bg-BG"/>
        </w:rPr>
        <w:t>”, гр. Разград.</w:t>
      </w:r>
    </w:p>
    <w:p w:rsidR="00D75D6A" w:rsidRPr="00D75D6A" w:rsidRDefault="00D75D6A" w:rsidP="00D75D6A">
      <w:pPr>
        <w:pStyle w:val="ListParagraph"/>
        <w:shd w:val="clear" w:color="auto" w:fill="FFFFFF"/>
        <w:spacing w:before="120" w:after="0" w:line="276" w:lineRule="auto"/>
        <w:ind w:left="284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</w:pPr>
      <w:r w:rsidRPr="00D75D6A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Територия на зелените площи в град Разград по райони:</w:t>
      </w:r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Северен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градски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парк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ab/>
        <w:t xml:space="preserve">- 277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Младежки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парк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  <w:t>-186</w:t>
      </w:r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,6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Парк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„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Христо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Ботев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  <w:t>-63</w:t>
      </w:r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,5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Добровски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  <w:t xml:space="preserve">-0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Запад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 xml:space="preserve">-3,6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Орел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 xml:space="preserve">-51,3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Оборище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  <w:t xml:space="preserve">-39,6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Житница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  <w:t xml:space="preserve">-48,2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lastRenderedPageBreak/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Бели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Лом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  <w:t xml:space="preserve">-33,6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Лудогорие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  <w:t xml:space="preserve">-14,6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Освобождение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 xml:space="preserve">-44,7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Възраждане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 xml:space="preserve">-33,5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Варош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 xml:space="preserve">-9,9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Стефан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Караджа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  <w:t xml:space="preserve">-12,4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Хърсате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 xml:space="preserve">-2,8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жк“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>Абритус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>“</w:t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 w:rsidRPr="00D75D6A">
        <w:rPr>
          <w:rFonts w:ascii="Times New Roman" w:hAnsi="Times New Roman"/>
          <w:color w:val="auto"/>
          <w:sz w:val="24"/>
          <w:szCs w:val="24"/>
        </w:rPr>
        <w:t xml:space="preserve">-17,6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D75D6A" w:rsidRPr="00D75D6A" w:rsidRDefault="00D75D6A" w:rsidP="00D75D6A">
      <w:pPr>
        <w:spacing w:before="120" w:after="0" w:line="276" w:lineRule="auto"/>
        <w:rPr>
          <w:rFonts w:ascii="Times New Roman" w:hAnsi="Times New Roman"/>
          <w:color w:val="auto"/>
          <w:sz w:val="24"/>
          <w:szCs w:val="24"/>
        </w:rPr>
      </w:pP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Централна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градска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част</w:t>
      </w:r>
      <w:proofErr w:type="spellEnd"/>
      <w:r w:rsidRPr="00D75D6A">
        <w:rPr>
          <w:rFonts w:ascii="Times New Roman" w:hAnsi="Times New Roman"/>
          <w:color w:val="auto"/>
          <w:sz w:val="24"/>
          <w:szCs w:val="24"/>
        </w:rPr>
        <w:tab/>
        <w:t>-55</w:t>
      </w:r>
      <w:proofErr w:type="gramStart"/>
      <w:r w:rsidRPr="00D75D6A">
        <w:rPr>
          <w:rFonts w:ascii="Times New Roman" w:hAnsi="Times New Roman"/>
          <w:color w:val="auto"/>
          <w:sz w:val="24"/>
          <w:szCs w:val="24"/>
        </w:rPr>
        <w:t>,7</w:t>
      </w:r>
      <w:proofErr w:type="gramEnd"/>
      <w:r w:rsidRPr="00D75D6A">
        <w:rPr>
          <w:rFonts w:ascii="Times New Roman" w:hAnsi="Times New Roman"/>
          <w:color w:val="auto"/>
          <w:sz w:val="24"/>
          <w:szCs w:val="24"/>
        </w:rPr>
        <w:t xml:space="preserve"> </w:t>
      </w:r>
      <w:proofErr w:type="spellStart"/>
      <w:r w:rsidRPr="00D75D6A">
        <w:rPr>
          <w:rFonts w:ascii="Times New Roman" w:hAnsi="Times New Roman"/>
          <w:color w:val="auto"/>
          <w:sz w:val="24"/>
          <w:szCs w:val="24"/>
        </w:rPr>
        <w:t>дка</w:t>
      </w:r>
      <w:proofErr w:type="spellEnd"/>
    </w:p>
    <w:p w:rsidR="006E36BE" w:rsidRPr="00D75D6A" w:rsidRDefault="006E36BE" w:rsidP="00D75D6A">
      <w:pPr>
        <w:pStyle w:val="ListParagraph"/>
        <w:spacing w:before="120" w:after="0" w:line="276" w:lineRule="auto"/>
        <w:ind w:left="284"/>
        <w:contextualSpacing w:val="0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</w:p>
    <w:p w:rsidR="006E36BE" w:rsidRDefault="006E36BE" w:rsidP="006E36BE">
      <w:pPr>
        <w:pStyle w:val="ListParagraph"/>
        <w:spacing w:after="120"/>
        <w:ind w:left="284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  <w:r w:rsidRPr="00757FEB"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  <w:t>На фиг. 6.7.-1 е показана устройствена схема на град Разград, на която са обозначени зелените площи в града.</w:t>
      </w:r>
    </w:p>
    <w:p w:rsidR="00D75D6A" w:rsidRDefault="00D75D6A" w:rsidP="006E36BE">
      <w:pPr>
        <w:pStyle w:val="ListParagraph"/>
        <w:spacing w:after="120"/>
        <w:ind w:left="284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</w:p>
    <w:p w:rsidR="00D75D6A" w:rsidRPr="00757FEB" w:rsidRDefault="00D75D6A" w:rsidP="006E36BE">
      <w:pPr>
        <w:pStyle w:val="ListParagraph"/>
        <w:spacing w:after="120"/>
        <w:ind w:left="284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</w:p>
    <w:p w:rsidR="006E36BE" w:rsidRPr="00757FEB" w:rsidRDefault="006E36BE" w:rsidP="006E36BE">
      <w:pPr>
        <w:pStyle w:val="ListParagraph"/>
        <w:spacing w:after="120"/>
        <w:ind w:left="284"/>
        <w:rPr>
          <w:rFonts w:ascii="Times New Roman" w:hAnsi="Times New Roman"/>
          <w:color w:val="auto"/>
          <w:sz w:val="17"/>
          <w:szCs w:val="17"/>
          <w:shd w:val="clear" w:color="auto" w:fill="F9F9F9"/>
          <w:lang w:val="bg-BG"/>
        </w:rPr>
      </w:pPr>
    </w:p>
    <w:p w:rsidR="00D75D6A" w:rsidRDefault="00D75D6A" w:rsidP="00D75D6A">
      <w:pPr>
        <w:pStyle w:val="ListParagraph"/>
        <w:spacing w:after="120"/>
        <w:ind w:left="284"/>
        <w:rPr>
          <w:rFonts w:ascii="Times New Roman" w:hAnsi="Times New Roman"/>
          <w:b/>
          <w:i/>
          <w:color w:val="auto"/>
          <w:sz w:val="24"/>
          <w:szCs w:val="24"/>
          <w:shd w:val="clear" w:color="auto" w:fill="F9F9F9"/>
          <w:lang w:val="bg-BG"/>
        </w:rPr>
        <w:sectPr w:rsidR="00D75D6A" w:rsidSect="00294A31">
          <w:headerReference w:type="default" r:id="rId7"/>
          <w:footerReference w:type="default" r:id="rId8"/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D75D6A" w:rsidRDefault="00D75D6A" w:rsidP="00B17B77">
      <w:pPr>
        <w:pStyle w:val="ListParagraph"/>
        <w:spacing w:after="120"/>
        <w:ind w:left="284"/>
        <w:jc w:val="center"/>
        <w:rPr>
          <w:rFonts w:ascii="Times New Roman" w:hAnsi="Times New Roman"/>
          <w:color w:val="auto"/>
          <w:sz w:val="17"/>
          <w:szCs w:val="17"/>
          <w:shd w:val="clear" w:color="auto" w:fill="F9F9F9"/>
          <w:lang w:val="bg-BG"/>
        </w:rPr>
      </w:pPr>
      <w:r>
        <w:rPr>
          <w:noProof/>
          <w:lang w:val="bg-BG" w:eastAsia="bg-BG" w:bidi="ar-SA"/>
        </w:rPr>
        <w:lastRenderedPageBreak/>
        <w:drawing>
          <wp:inline distT="0" distB="0" distL="0" distR="0" wp14:anchorId="5FFF85AF" wp14:editId="68B87FD6">
            <wp:extent cx="7584141" cy="5463708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25628" t="17839" r="10283" b="8285"/>
                    <a:stretch/>
                  </pic:blipFill>
                  <pic:spPr bwMode="auto">
                    <a:xfrm>
                      <a:off x="0" y="0"/>
                      <a:ext cx="7599996" cy="54751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7B77" w:rsidRDefault="00B17B77" w:rsidP="00B17B77">
      <w:pPr>
        <w:pStyle w:val="ListParagraph"/>
        <w:spacing w:after="120"/>
        <w:ind w:left="284"/>
        <w:jc w:val="center"/>
        <w:rPr>
          <w:rFonts w:ascii="Times New Roman" w:hAnsi="Times New Roman"/>
          <w:b/>
          <w:i/>
          <w:color w:val="auto"/>
          <w:sz w:val="22"/>
          <w:szCs w:val="22"/>
          <w:shd w:val="clear" w:color="auto" w:fill="F9F9F9"/>
          <w:lang w:val="bg-BG"/>
        </w:rPr>
      </w:pPr>
      <w:r w:rsidRPr="00B17B77">
        <w:rPr>
          <w:rFonts w:ascii="Times New Roman" w:hAnsi="Times New Roman"/>
          <w:b/>
          <w:i/>
          <w:color w:val="auto"/>
          <w:sz w:val="22"/>
          <w:szCs w:val="22"/>
          <w:shd w:val="clear" w:color="auto" w:fill="F9F9F9"/>
          <w:lang w:val="bg-BG"/>
        </w:rPr>
        <w:t>Фиг. 6.7.-1</w:t>
      </w:r>
      <w:r>
        <w:rPr>
          <w:rFonts w:ascii="Times New Roman" w:hAnsi="Times New Roman"/>
          <w:b/>
          <w:i/>
          <w:color w:val="auto"/>
          <w:sz w:val="22"/>
          <w:szCs w:val="22"/>
          <w:shd w:val="clear" w:color="auto" w:fill="F9F9F9"/>
          <w:lang w:val="bg-BG"/>
        </w:rPr>
        <w:t xml:space="preserve"> </w:t>
      </w:r>
      <w:r w:rsidRPr="00B17B77">
        <w:rPr>
          <w:rFonts w:ascii="Times New Roman" w:hAnsi="Times New Roman"/>
          <w:b/>
          <w:i/>
          <w:color w:val="auto"/>
          <w:sz w:val="22"/>
          <w:szCs w:val="22"/>
          <w:shd w:val="clear" w:color="auto" w:fill="F9F9F9"/>
          <w:lang w:val="bg-BG"/>
        </w:rPr>
        <w:t>Зелени площ</w:t>
      </w:r>
      <w:r>
        <w:rPr>
          <w:rFonts w:ascii="Times New Roman" w:hAnsi="Times New Roman"/>
          <w:b/>
          <w:i/>
          <w:color w:val="auto"/>
          <w:sz w:val="22"/>
          <w:szCs w:val="22"/>
          <w:shd w:val="clear" w:color="auto" w:fill="F9F9F9"/>
          <w:lang w:val="bg-BG"/>
        </w:rPr>
        <w:t>и на територията на град Разград</w:t>
      </w:r>
    </w:p>
    <w:p w:rsidR="00B17B77" w:rsidRDefault="00B17B77" w:rsidP="00B17B77">
      <w:pPr>
        <w:pStyle w:val="ListParagraph"/>
        <w:spacing w:after="120"/>
        <w:ind w:left="284"/>
        <w:jc w:val="center"/>
        <w:rPr>
          <w:rFonts w:ascii="Times New Roman" w:hAnsi="Times New Roman"/>
          <w:b/>
          <w:i/>
          <w:color w:val="auto"/>
          <w:sz w:val="22"/>
          <w:szCs w:val="22"/>
          <w:shd w:val="clear" w:color="auto" w:fill="F9F9F9"/>
          <w:lang w:val="bg-BG"/>
        </w:rPr>
        <w:sectPr w:rsidR="00B17B77" w:rsidSect="00B17B77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6E36BE" w:rsidRPr="00757FEB" w:rsidRDefault="006E36BE" w:rsidP="00B17B77">
      <w:pPr>
        <w:pStyle w:val="unnamed1"/>
        <w:spacing w:before="120" w:beforeAutospacing="0" w:after="0" w:afterAutospacing="0" w:line="276" w:lineRule="auto"/>
        <w:jc w:val="both"/>
        <w:rPr>
          <w:iCs/>
        </w:rPr>
      </w:pPr>
      <w:r w:rsidRPr="00757FEB">
        <w:rPr>
          <w:iCs/>
        </w:rPr>
        <w:lastRenderedPageBreak/>
        <w:t>На територията на по-големите  населени места от общината също има оформени паркови пространс</w:t>
      </w:r>
      <w:r w:rsidR="00294A31">
        <w:rPr>
          <w:iCs/>
        </w:rPr>
        <w:t>т</w:t>
      </w:r>
      <w:r w:rsidRPr="00757FEB">
        <w:rPr>
          <w:iCs/>
        </w:rPr>
        <w:t xml:space="preserve">ва. В почти всички случаи те са разположени в центъра на селата и са малки по площ. Поддържането на тези площи обаче от години е предоставено на кметствата, които нямат необходимия капацитет да осъществяват тази дейност. Като резултат в тези паркове се извършват само неотложни дейности като напр. борба с вредители, косене на тревните площи и непрофесионално кастрене на клони и саморасляци. </w:t>
      </w:r>
      <w:r w:rsidR="00294A31">
        <w:rPr>
          <w:iCs/>
        </w:rPr>
        <w:t>Жителите</w:t>
      </w:r>
      <w:r w:rsidRPr="00757FEB">
        <w:rPr>
          <w:iCs/>
        </w:rPr>
        <w:t xml:space="preserve"> на тези населени места са възрастни и </w:t>
      </w:r>
      <w:proofErr w:type="spellStart"/>
      <w:r w:rsidRPr="00757FEB">
        <w:rPr>
          <w:iCs/>
        </w:rPr>
        <w:t>доброволчеството</w:t>
      </w:r>
      <w:proofErr w:type="spellEnd"/>
      <w:r w:rsidRPr="00757FEB">
        <w:rPr>
          <w:iCs/>
        </w:rPr>
        <w:t xml:space="preserve"> не е по силите им. </w:t>
      </w:r>
    </w:p>
    <w:p w:rsidR="006E36BE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iCs/>
          <w:color w:val="auto"/>
          <w:sz w:val="24"/>
          <w:szCs w:val="24"/>
          <w:lang w:val="bg-BG"/>
        </w:rPr>
      </w:pP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Друга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важна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част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от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зелената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система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на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всеки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град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са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междублоковите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пространства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.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Проектите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за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озеленяване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на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тези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пространства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почти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във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всички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случаи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са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професионални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и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естетически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 xml:space="preserve"> </w:t>
      </w:r>
      <w:proofErr w:type="spellStart"/>
      <w:r w:rsidRPr="00B17B77">
        <w:rPr>
          <w:rFonts w:ascii="Times New Roman" w:hAnsi="Times New Roman"/>
          <w:iCs/>
          <w:color w:val="auto"/>
          <w:sz w:val="24"/>
          <w:szCs w:val="24"/>
        </w:rPr>
        <w:t>издържани</w:t>
      </w:r>
      <w:proofErr w:type="spellEnd"/>
      <w:r w:rsidRPr="00B17B77">
        <w:rPr>
          <w:rFonts w:ascii="Times New Roman" w:hAnsi="Times New Roman"/>
          <w:iCs/>
          <w:color w:val="auto"/>
          <w:sz w:val="24"/>
          <w:szCs w:val="24"/>
        </w:rPr>
        <w:t>.</w:t>
      </w:r>
      <w:r w:rsidRPr="00B17B77">
        <w:rPr>
          <w:rFonts w:ascii="Times New Roman" w:hAnsi="Times New Roman"/>
          <w:iCs/>
          <w:color w:val="auto"/>
          <w:sz w:val="24"/>
          <w:szCs w:val="24"/>
          <w:lang w:val="bg-BG"/>
        </w:rPr>
        <w:t xml:space="preserve"> Община Разград е разработила Програма за реализация на благоустройствени мероприятия по реда на публично-частно партньорство.</w:t>
      </w:r>
    </w:p>
    <w:p w:rsidR="00B17B77" w:rsidRPr="00B17B77" w:rsidRDefault="00B17B77" w:rsidP="00B17B77">
      <w:pPr>
        <w:spacing w:before="120" w:after="0" w:line="276" w:lineRule="auto"/>
        <w:ind w:left="0"/>
        <w:jc w:val="both"/>
        <w:rPr>
          <w:rFonts w:ascii="Times New Roman" w:hAnsi="Times New Roman"/>
          <w:iCs/>
          <w:color w:val="auto"/>
          <w:sz w:val="24"/>
          <w:szCs w:val="24"/>
          <w:lang w:val="bg-BG"/>
        </w:rPr>
      </w:pPr>
    </w:p>
    <w:p w:rsidR="006E36BE" w:rsidRPr="00294A31" w:rsidRDefault="006E36BE" w:rsidP="00B17B77">
      <w:pPr>
        <w:pStyle w:val="ListParagraph"/>
        <w:numPr>
          <w:ilvl w:val="2"/>
          <w:numId w:val="8"/>
        </w:numPr>
        <w:spacing w:before="120" w:after="0" w:line="276" w:lineRule="auto"/>
        <w:contextualSpacing w:val="0"/>
        <w:jc w:val="both"/>
        <w:rPr>
          <w:rFonts w:ascii="Times New Roman" w:hAnsi="Times New Roman"/>
          <w:b/>
          <w:i/>
          <w:color w:val="auto"/>
          <w:sz w:val="24"/>
          <w:szCs w:val="24"/>
          <w:u w:val="single"/>
          <w:lang w:val="bg-BG"/>
        </w:rPr>
      </w:pPr>
      <w:r w:rsidRPr="00294A31">
        <w:rPr>
          <w:rFonts w:ascii="Times New Roman" w:hAnsi="Times New Roman"/>
          <w:b/>
          <w:i/>
          <w:color w:val="auto"/>
          <w:sz w:val="24"/>
          <w:szCs w:val="24"/>
          <w:u w:val="single"/>
          <w:lang w:val="bg-BG"/>
        </w:rPr>
        <w:t>Зелени площи в населените места – показатели (</w:t>
      </w:r>
      <w:proofErr w:type="spellStart"/>
      <w:r w:rsidRPr="00294A31">
        <w:rPr>
          <w:rFonts w:ascii="Times New Roman" w:hAnsi="Times New Roman"/>
          <w:b/>
          <w:i/>
          <w:color w:val="auto"/>
          <w:sz w:val="24"/>
          <w:szCs w:val="24"/>
          <w:u w:val="single"/>
          <w:lang w:val="bg-BG"/>
        </w:rPr>
        <w:t>кв.м.на</w:t>
      </w:r>
      <w:proofErr w:type="spellEnd"/>
      <w:r w:rsidRPr="00294A31">
        <w:rPr>
          <w:rFonts w:ascii="Times New Roman" w:hAnsi="Times New Roman"/>
          <w:b/>
          <w:i/>
          <w:color w:val="auto"/>
          <w:sz w:val="24"/>
          <w:szCs w:val="24"/>
          <w:u w:val="single"/>
          <w:lang w:val="bg-BG"/>
        </w:rPr>
        <w:t xml:space="preserve"> жител, състояние). </w:t>
      </w:r>
    </w:p>
    <w:p w:rsidR="006E36BE" w:rsidRPr="00757FEB" w:rsidRDefault="006E36BE" w:rsidP="00B17B77">
      <w:pPr>
        <w:pStyle w:val="ListParagraph"/>
        <w:shd w:val="clear" w:color="auto" w:fill="FFFFFF"/>
        <w:spacing w:before="120" w:after="0" w:line="276" w:lineRule="auto"/>
        <w:ind w:left="0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 xml:space="preserve">С Наредба 7/22.12.2003  г.  за правила и нормативи за устройство на отделните видове територии и устройствени зони се определят нормативите за необходимата земя за застрояване,  с оглед ефективно използване на територията и поддържане на природното равновесие.  Глава седма от Наредбата третира въпроса за устройство на озеленените територии.  Съгласно чл.30  озеленените територии в населените места и извън тях се определят с общите и подробни устройствени планове. Зелената система на едно населено място включва обществените озеленени площи – паркове,  градини, улично озеленяване,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извънселищни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 xml:space="preserve"> паркове, гробищни паркове, ботанически градини,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дендрариуми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 xml:space="preserve">, защитени насаждения и разсадници. В тази наредба са регламентирани нормативите за площта на обществените озеленени площи за широко и специфично ползване в градовете, с различен брой население. За големите градове нормата е 20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кв.м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/жител.</w:t>
      </w:r>
    </w:p>
    <w:p w:rsidR="006E36BE" w:rsidRPr="00757FEB" w:rsidRDefault="006E36BE" w:rsidP="00B17B77">
      <w:pPr>
        <w:pStyle w:val="ListParagraph"/>
        <w:shd w:val="clear" w:color="auto" w:fill="FFFFFF"/>
        <w:spacing w:before="120" w:after="0" w:line="276" w:lineRule="auto"/>
        <w:ind w:left="0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 xml:space="preserve">За град Разград се падат 55,2 </w:t>
      </w:r>
      <w:proofErr w:type="spellStart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кв.м</w:t>
      </w:r>
      <w:proofErr w:type="spellEnd"/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 xml:space="preserve">. зелени площи на жител. Показателят значително надвишава нормативно изискуемият. </w:t>
      </w:r>
    </w:p>
    <w:p w:rsidR="006E36BE" w:rsidRPr="00757FEB" w:rsidRDefault="006E36BE" w:rsidP="00B17B77">
      <w:pPr>
        <w:pStyle w:val="ListParagraph"/>
        <w:shd w:val="clear" w:color="auto" w:fill="FFFFFF"/>
        <w:spacing w:before="120" w:after="0" w:line="276" w:lineRule="auto"/>
        <w:ind w:left="0"/>
        <w:contextualSpacing w:val="0"/>
        <w:jc w:val="both"/>
        <w:rPr>
          <w:rFonts w:ascii="Times New Roman" w:hAnsi="Times New Roman"/>
          <w:color w:val="auto"/>
          <w:sz w:val="24"/>
          <w:szCs w:val="24"/>
          <w:shd w:val="clear" w:color="auto" w:fill="F9F9F9"/>
          <w:lang w:val="bg-BG"/>
        </w:rPr>
      </w:pPr>
      <w:r w:rsidRPr="00430302">
        <w:rPr>
          <w:rFonts w:ascii="Times New Roman" w:hAnsi="Times New Roman"/>
          <w:color w:val="auto"/>
          <w:sz w:val="24"/>
          <w:szCs w:val="24"/>
          <w:shd w:val="clear" w:color="auto" w:fill="FFFFFF"/>
          <w:lang w:val="bg-BG"/>
        </w:rPr>
        <w:t>Ежегодно за поддръжка на зелените площи на територията на община Разград се предвиждат средства от общинския бюджет за територията на град Разград и за територията на населените места, разположени на територията на общината..</w:t>
      </w:r>
    </w:p>
    <w:p w:rsidR="006E36BE" w:rsidRPr="00757FEB" w:rsidRDefault="006E36BE" w:rsidP="00294A31">
      <w:pPr>
        <w:pStyle w:val="ListParagraph"/>
        <w:spacing w:before="120" w:after="0" w:line="276" w:lineRule="auto"/>
        <w:ind w:left="284"/>
        <w:contextualSpacing w:val="0"/>
        <w:jc w:val="both"/>
        <w:rPr>
          <w:rFonts w:ascii="Times New Roman" w:hAnsi="Times New Roman"/>
          <w:color w:val="000000"/>
          <w:sz w:val="17"/>
          <w:szCs w:val="17"/>
          <w:shd w:val="clear" w:color="auto" w:fill="F9F9F9"/>
          <w:lang w:val="bg-BG"/>
        </w:rPr>
      </w:pPr>
    </w:p>
    <w:p w:rsidR="006E36BE" w:rsidRPr="00294A31" w:rsidRDefault="006E36BE" w:rsidP="00294A31">
      <w:pPr>
        <w:pStyle w:val="ListParagraph"/>
        <w:numPr>
          <w:ilvl w:val="2"/>
          <w:numId w:val="8"/>
        </w:numPr>
        <w:spacing w:before="120" w:after="0" w:line="276" w:lineRule="auto"/>
        <w:contextualSpacing w:val="0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  <w:lang w:val="bg-BG"/>
        </w:rPr>
      </w:pPr>
      <w:r w:rsidRPr="00294A31">
        <w:rPr>
          <w:rFonts w:ascii="Times New Roman" w:hAnsi="Times New Roman"/>
          <w:b/>
          <w:i/>
          <w:color w:val="000000"/>
          <w:sz w:val="24"/>
          <w:szCs w:val="24"/>
          <w:u w:val="single"/>
          <w:lang w:val="bg-BG"/>
        </w:rPr>
        <w:t>Наличие на паркове за отдих извън населените места – статут, състояние, инфраструктура, посещаемост, осигуреност с транспорт.</w:t>
      </w:r>
    </w:p>
    <w:p w:rsidR="006E36BE" w:rsidRPr="00757FEB" w:rsidRDefault="006E36BE" w:rsidP="00B17B77">
      <w:pPr>
        <w:pStyle w:val="ListParagraph"/>
        <w:spacing w:before="120" w:after="0" w:line="276" w:lineRule="auto"/>
        <w:ind w:left="0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Най- големият парк за отдих на територията на община Разград е „Пчелина”.  Местността „Пчелина” обхваща част от землищата на гр. Разград, с. Благоево и с. Островче, община Разград. Тя се намира на около </w:t>
      </w:r>
      <w:r w:rsidRPr="00757FEB">
        <w:rPr>
          <w:rFonts w:ascii="Times New Roman" w:hAnsi="Times New Roman"/>
          <w:color w:val="000000"/>
          <w:sz w:val="24"/>
          <w:szCs w:val="24"/>
        </w:rPr>
        <w:t>6</w:t>
      </w: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км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югозападно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град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Разград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източно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път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204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Разград-София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Общата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площ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територията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местността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1</w:t>
      </w: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> </w:t>
      </w:r>
      <w:r w:rsidRPr="00757FEB">
        <w:rPr>
          <w:rFonts w:ascii="Times New Roman" w:hAnsi="Times New Roman"/>
          <w:color w:val="000000"/>
          <w:sz w:val="24"/>
          <w:szCs w:val="24"/>
        </w:rPr>
        <w:t>200</w:t>
      </w: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hа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които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91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hа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–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lastRenderedPageBreak/>
        <w:t>държавна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8.1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hа-частна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собственост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а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останалата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част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територията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общинска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собственост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57FEB">
        <w:rPr>
          <w:rFonts w:ascii="Times New Roman" w:hAnsi="Times New Roman"/>
          <w:color w:val="000000"/>
          <w:sz w:val="24"/>
          <w:szCs w:val="24"/>
        </w:rPr>
        <w:t>В м.</w:t>
      </w: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757FEB">
        <w:rPr>
          <w:rFonts w:ascii="Times New Roman" w:hAnsi="Times New Roman"/>
          <w:color w:val="000000"/>
          <w:sz w:val="24"/>
          <w:szCs w:val="24"/>
        </w:rPr>
        <w:t>”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”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изградени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17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обекта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обществено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обслужване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частно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ползване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които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12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обитаеми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това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предимно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почивни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бази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Изградена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водопроводната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телефонната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ел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757FEB">
        <w:rPr>
          <w:rFonts w:ascii="Times New Roman" w:hAnsi="Times New Roman"/>
          <w:color w:val="000000"/>
          <w:sz w:val="24"/>
          <w:szCs w:val="24"/>
        </w:rPr>
        <w:t>мрежата</w:t>
      </w:r>
      <w:proofErr w:type="spellEnd"/>
      <w:proofErr w:type="gram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към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съществуващите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имоти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имот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отреден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Помпена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станция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имота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водоеми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Всички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обществени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имот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>и</w:t>
      </w:r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имат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достъп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път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>.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57FEB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северната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част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м.”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”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намират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язовира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1” и „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2” с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обща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площ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19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ха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Състоянието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хидротехническите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съоръжения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към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момента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добро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>.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южната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северната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част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местността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минава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река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която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я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разделя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две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части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влива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язовир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„Пчелин2”.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Реката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явява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основен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водоизточник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язовирите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местността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>.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запад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реката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територията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>попада в Защитена зона „Островче”</w:t>
      </w:r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Към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момента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местността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изградена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около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6км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пътна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алейна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мрежа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трайна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настилка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Пътната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инфраструктура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местността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като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цяло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лошо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техническо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състояние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Пътищата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тесни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което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затруднява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потока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МПС,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през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почивните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Няма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обособени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паркоместа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почиващите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Необходимо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реконструират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/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разширят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/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съществуващите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пътища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улесни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движението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МПС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осигурят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определен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брой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паркоместа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>.</w:t>
      </w:r>
    </w:p>
    <w:p w:rsidR="006E36BE" w:rsidRPr="00757FEB" w:rsidRDefault="006E36BE" w:rsidP="00B17B77">
      <w:pPr>
        <w:shd w:val="clear" w:color="auto" w:fill="FFFFFF"/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57FEB">
        <w:rPr>
          <w:rFonts w:ascii="Times New Roman" w:hAnsi="Times New Roman"/>
          <w:color w:val="000000"/>
          <w:spacing w:val="-5"/>
          <w:sz w:val="24"/>
          <w:szCs w:val="24"/>
          <w:lang w:val="bg-BG"/>
        </w:rPr>
        <w:t>В</w:t>
      </w:r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края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седемдесетте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началото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осемдесетте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години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757FEB">
        <w:rPr>
          <w:rFonts w:ascii="Times New Roman" w:hAnsi="Times New Roman"/>
          <w:color w:val="000000"/>
          <w:spacing w:val="-3"/>
          <w:sz w:val="24"/>
          <w:szCs w:val="24"/>
          <w:lang w:val="bg-BG"/>
        </w:rPr>
        <w:t xml:space="preserve">местността „Пчелина” е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една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най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–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благоустроените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зони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краткотраен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в </w:t>
      </w:r>
      <w:proofErr w:type="spellStart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>някогашния</w:t>
      </w:r>
      <w:proofErr w:type="spellEnd"/>
      <w:r w:rsidRPr="00757FEB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Разградски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окръг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Изградени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r w:rsidRPr="00757FEB">
        <w:rPr>
          <w:rFonts w:ascii="Times New Roman" w:hAnsi="Times New Roman"/>
          <w:color w:val="000000"/>
          <w:spacing w:val="-5"/>
          <w:sz w:val="24"/>
          <w:szCs w:val="24"/>
          <w:lang w:val="bg-BG"/>
        </w:rPr>
        <w:t>са</w:t>
      </w:r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профилакториуми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водещите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предприятия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от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>общината</w:t>
      </w:r>
      <w:proofErr w:type="spellEnd"/>
      <w:r w:rsidRPr="00757FEB">
        <w:rPr>
          <w:rFonts w:ascii="Times New Roman" w:hAnsi="Times New Roman"/>
          <w:color w:val="000000"/>
          <w:spacing w:val="-5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почивни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станции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с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обща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леглова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база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над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300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легла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ресторантите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„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Горски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кът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” и „</w:t>
      </w:r>
      <w:proofErr w:type="spellStart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Колибите</w:t>
      </w:r>
      <w:proofErr w:type="spellEnd"/>
      <w:r w:rsidRPr="00757FEB">
        <w:rPr>
          <w:rFonts w:ascii="Times New Roman" w:hAnsi="Times New Roman"/>
          <w:color w:val="000000"/>
          <w:spacing w:val="-6"/>
          <w:sz w:val="24"/>
          <w:szCs w:val="24"/>
        </w:rPr>
        <w:t>”.</w:t>
      </w:r>
    </w:p>
    <w:p w:rsidR="006E36BE" w:rsidRPr="00757FEB" w:rsidRDefault="006E36BE" w:rsidP="00B17B77">
      <w:pPr>
        <w:shd w:val="clear" w:color="auto" w:fill="FFFFFF"/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единия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язовир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r w:rsidRPr="00757FEB">
        <w:rPr>
          <w:rFonts w:ascii="Times New Roman" w:hAnsi="Times New Roman"/>
          <w:color w:val="000000"/>
          <w:spacing w:val="-9"/>
          <w:sz w:val="24"/>
          <w:szCs w:val="24"/>
          <w:lang w:val="bg-BG"/>
        </w:rPr>
        <w:t xml:space="preserve">е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изградена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водна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база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с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добре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развити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водни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спортове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–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водни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ски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гребане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леководолазно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дело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подводно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ориентиране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надбягване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със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скутери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Възможност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прохлада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развлечение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създаваше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плажната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ивица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лятната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къпалня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спортните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съоръжения</w:t>
      </w:r>
      <w:proofErr w:type="spellEnd"/>
      <w:r w:rsidRPr="00757FEB">
        <w:rPr>
          <w:rFonts w:ascii="Times New Roman" w:hAnsi="Times New Roman"/>
          <w:color w:val="000000"/>
          <w:spacing w:val="-9"/>
          <w:sz w:val="24"/>
          <w:szCs w:val="24"/>
        </w:rPr>
        <w:t>.</w:t>
      </w:r>
    </w:p>
    <w:p w:rsidR="006E36BE" w:rsidRPr="00757FEB" w:rsidRDefault="006E36BE" w:rsidP="00B17B77">
      <w:pPr>
        <w:shd w:val="clear" w:color="auto" w:fill="FFFFFF"/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Покрай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Пчелинска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река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сега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разположени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басейнът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със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затопляща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вода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>местата</w:t>
      </w:r>
      <w:proofErr w:type="spellEnd"/>
      <w:r w:rsidRPr="00757FEB">
        <w:rPr>
          <w:rFonts w:ascii="Times New Roman" w:hAnsi="Times New Roman"/>
          <w:color w:val="000000"/>
          <w:spacing w:val="-7"/>
          <w:sz w:val="24"/>
          <w:szCs w:val="24"/>
        </w:rPr>
        <w:t xml:space="preserve"> с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възможности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пикник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аматьорски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състезания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тенис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федербал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футбол</w:t>
      </w:r>
      <w:proofErr w:type="spellEnd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др</w:t>
      </w:r>
      <w:proofErr w:type="spellEnd"/>
      <w:proofErr w:type="gramStart"/>
      <w:r w:rsidRPr="00757FEB">
        <w:rPr>
          <w:rFonts w:ascii="Times New Roman" w:hAnsi="Times New Roman"/>
          <w:color w:val="000000"/>
          <w:spacing w:val="-8"/>
          <w:sz w:val="24"/>
          <w:szCs w:val="24"/>
        </w:rPr>
        <w:t>..</w:t>
      </w:r>
      <w:proofErr w:type="gramEnd"/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57FEB">
        <w:rPr>
          <w:rFonts w:ascii="Times New Roman" w:hAnsi="Times New Roman"/>
          <w:color w:val="000000"/>
          <w:sz w:val="24"/>
          <w:szCs w:val="24"/>
        </w:rPr>
        <w:t xml:space="preserve">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резултат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реализацията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проекти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ФАР и „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Красива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България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” 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местност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”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възстановени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съществуващите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туристически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маршрути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еко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пътеки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плажната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ивица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язовир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2”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алейното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осветление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Изградени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няколко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заслона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маси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пейки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както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място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къмпиране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Дядо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миньовата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чешма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>”.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57FEB">
        <w:rPr>
          <w:rFonts w:ascii="Times New Roman" w:hAnsi="Times New Roman"/>
          <w:noProof/>
          <w:color w:val="000000"/>
          <w:sz w:val="24"/>
          <w:szCs w:val="24"/>
          <w:lang w:val="bg-BG" w:eastAsia="bg-BG"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3032760</wp:posOffset>
                </wp:positionH>
                <wp:positionV relativeFrom="paragraph">
                  <wp:posOffset>7262495</wp:posOffset>
                </wp:positionV>
                <wp:extent cx="1166495" cy="283845"/>
                <wp:effectExtent l="0" t="3175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64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36BE" w:rsidRPr="00A3428D" w:rsidRDefault="006E36BE" w:rsidP="006E36BE">
                            <w:pPr>
                              <w:rPr>
                                <w:color w:val="FFFFFF"/>
                                <w:sz w:val="18"/>
                                <w:szCs w:val="18"/>
                              </w:rPr>
                            </w:pPr>
                            <w:r w:rsidRPr="00A3428D">
                              <w:rPr>
                                <w:color w:val="FFFFFF"/>
                                <w:sz w:val="18"/>
                                <w:szCs w:val="18"/>
                                <w:lang w:val="bg-BG"/>
                              </w:rPr>
                              <w:t>м-</w:t>
                            </w:r>
                            <w:proofErr w:type="spellStart"/>
                            <w:r w:rsidRPr="00A3428D">
                              <w:rPr>
                                <w:color w:val="FFFFFF"/>
                                <w:sz w:val="18"/>
                                <w:szCs w:val="18"/>
                                <w:lang w:val="bg-BG"/>
                              </w:rPr>
                              <w:t>ст</w:t>
                            </w:r>
                            <w:proofErr w:type="spellEnd"/>
                            <w:r w:rsidRPr="00A3428D">
                              <w:rPr>
                                <w:color w:val="FFFFFF"/>
                                <w:sz w:val="18"/>
                                <w:szCs w:val="18"/>
                                <w:lang w:val="bg-BG"/>
                              </w:rPr>
                              <w:t xml:space="preserve"> „Пчелина”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38.8pt;margin-top:571.85pt;width:91.85pt;height:22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" filled="f" stroked="f">
                <v:textbox>
                  <w:txbxContent>
                    <w:p w:rsidR="006E36BE" w:rsidRPr="00A3428D" w:rsidRDefault="006E36BE" w:rsidP="006E36BE">
                      <w:pPr>
                        <w:rPr>
                          <w:color w:val="FFFFFF"/>
                          <w:sz w:val="18"/>
                          <w:szCs w:val="18"/>
                        </w:rPr>
                      </w:pPr>
                      <w:r w:rsidRPr="00A3428D">
                        <w:rPr>
                          <w:color w:val="FFFFFF"/>
                          <w:sz w:val="18"/>
                          <w:szCs w:val="18"/>
                          <w:lang w:val="bg-BG"/>
                        </w:rPr>
                        <w:t>м-</w:t>
                      </w:r>
                      <w:proofErr w:type="spellStart"/>
                      <w:r w:rsidRPr="00A3428D">
                        <w:rPr>
                          <w:color w:val="FFFFFF"/>
                          <w:sz w:val="18"/>
                          <w:szCs w:val="18"/>
                          <w:lang w:val="bg-BG"/>
                        </w:rPr>
                        <w:t>ст</w:t>
                      </w:r>
                      <w:proofErr w:type="spellEnd"/>
                      <w:r w:rsidRPr="00A3428D">
                        <w:rPr>
                          <w:color w:val="FFFFFF"/>
                          <w:sz w:val="18"/>
                          <w:szCs w:val="18"/>
                          <w:lang w:val="bg-BG"/>
                        </w:rPr>
                        <w:t xml:space="preserve"> „Пчелина”</w:t>
                      </w:r>
                    </w:p>
                  </w:txbxContent>
                </v:textbox>
              </v:shape>
            </w:pict>
          </mc:Fallback>
        </mc:AlternateContent>
      </w:r>
      <w:r w:rsidR="00294A31">
        <w:rPr>
          <w:rFonts w:ascii="Times New Roman" w:hAnsi="Times New Roman"/>
          <w:noProof/>
          <w:color w:val="000000"/>
          <w:sz w:val="24"/>
          <w:szCs w:val="24"/>
          <w:lang w:val="bg-BG" w:eastAsia="bg-BG" w:bidi="ar-SA"/>
        </w:rPr>
        <w:t>В</w:t>
      </w:r>
      <w:r w:rsidR="00294A31">
        <w:rPr>
          <w:rFonts w:ascii="Times New Roman" w:hAnsi="Times New Roman"/>
          <w:color w:val="000000"/>
          <w:sz w:val="24"/>
          <w:szCs w:val="24"/>
          <w:lang w:val="bg-BG"/>
        </w:rPr>
        <w:t xml:space="preserve"> местността Пчелина са</w:t>
      </w: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 обособ</w:t>
      </w:r>
      <w:r w:rsidR="00294A31">
        <w:rPr>
          <w:rFonts w:ascii="Times New Roman" w:hAnsi="Times New Roman"/>
          <w:color w:val="000000"/>
          <w:sz w:val="24"/>
          <w:szCs w:val="24"/>
          <w:lang w:val="bg-BG"/>
        </w:rPr>
        <w:t>ени</w:t>
      </w:r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 няколко функционални зони: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57FEB">
        <w:rPr>
          <w:rFonts w:ascii="Times New Roman" w:hAnsi="Times New Roman"/>
          <w:b/>
          <w:color w:val="000000"/>
          <w:sz w:val="24"/>
          <w:szCs w:val="24"/>
          <w:lang w:val="bg-BG"/>
        </w:rPr>
        <w:t>З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она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без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строителна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намеса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Това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горски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територии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: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курортни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гори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цветни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поляни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дивечови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ниви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площадки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дърводобив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57FEB">
        <w:rPr>
          <w:rFonts w:ascii="Times New Roman" w:hAnsi="Times New Roman"/>
          <w:b/>
          <w:color w:val="000000"/>
          <w:sz w:val="24"/>
          <w:szCs w:val="24"/>
          <w:lang w:val="bg-BG"/>
        </w:rPr>
        <w:t>З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она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дълготраен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  <w:lang w:val="bg-BG"/>
        </w:rPr>
        <w:t xml:space="preserve">. Тя се развива на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със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съществуващи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сгради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които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е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необходимо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бъдат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обновени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модернизирани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Предвиждат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нови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средства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подслон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като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хотели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клуб-хотел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централното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ядро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мотел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Студената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чешма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вилно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3" w:name="_GoBack"/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lastRenderedPageBreak/>
        <w:t>селище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туристическо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селище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туристическа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хижа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„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Пчелина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“,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вили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къщи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бунгала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къмпинги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Туристическата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чешма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>.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Предвидени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обекти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търговия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услуги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многофункционална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зрителна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зала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с 300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места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заведения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хранене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Поляна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фестивални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събори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концерти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природен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амфитеатър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(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седловидна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теренна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форма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)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Дядо-Минева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чешма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използва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място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E36BE" w:rsidRPr="00757FEB" w:rsidRDefault="006E36BE" w:rsidP="00B17B77">
      <w:pPr>
        <w:spacing w:before="120" w:after="0" w:line="276" w:lineRule="auto"/>
        <w:ind w:left="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757FEB">
        <w:rPr>
          <w:rFonts w:ascii="Times New Roman" w:hAnsi="Times New Roman"/>
          <w:b/>
          <w:color w:val="000000"/>
          <w:sz w:val="24"/>
          <w:szCs w:val="24"/>
          <w:lang w:val="bg-BG"/>
        </w:rPr>
        <w:t>З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они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туризъм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туристически</w:t>
      </w:r>
      <w:proofErr w:type="spellEnd"/>
      <w:r w:rsidRPr="00757FE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b/>
          <w:color w:val="000000"/>
          <w:sz w:val="24"/>
          <w:szCs w:val="24"/>
        </w:rPr>
        <w:t>маршрути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Това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зона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екотуризъм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обвързана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с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различни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туристически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маршрути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зона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автотуризъм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развита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буферни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автомобилни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паркинги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краткотрайния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зона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активен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отдих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спорт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зона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развлекателни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3"/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спортни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игри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за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здравно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FEB">
        <w:rPr>
          <w:rFonts w:ascii="Times New Roman" w:hAnsi="Times New Roman"/>
          <w:color w:val="000000"/>
          <w:sz w:val="24"/>
          <w:szCs w:val="24"/>
        </w:rPr>
        <w:t>възстановяване</w:t>
      </w:r>
      <w:proofErr w:type="spellEnd"/>
      <w:r w:rsidRPr="00757FEB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3A0549" w:rsidRDefault="003A0549"/>
    <w:sectPr w:rsidR="003A05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5FB" w:rsidRDefault="00B445FB" w:rsidP="00294A31">
      <w:pPr>
        <w:spacing w:after="0" w:line="240" w:lineRule="auto"/>
      </w:pPr>
      <w:r>
        <w:separator/>
      </w:r>
    </w:p>
  </w:endnote>
  <w:endnote w:type="continuationSeparator" w:id="0">
    <w:p w:rsidR="00B445FB" w:rsidRDefault="00B445FB" w:rsidP="0029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A31" w:rsidRDefault="00294A31" w:rsidP="00294A31">
    <w:pPr>
      <w:pStyle w:val="Footer"/>
      <w:ind w:left="0"/>
    </w:pPr>
    <w:r w:rsidRPr="00307227">
      <w:t xml:space="preserve">~ </w:t>
    </w:r>
    <w:r w:rsidRPr="00307227">
      <w:fldChar w:fldCharType="begin"/>
    </w:r>
    <w:r w:rsidRPr="00307227">
      <w:instrText xml:space="preserve"> PAGE    \* MERGEFORMAT </w:instrText>
    </w:r>
    <w:r w:rsidRPr="00307227">
      <w:fldChar w:fldCharType="separate"/>
    </w:r>
    <w:r w:rsidR="00B17B77">
      <w:rPr>
        <w:noProof/>
      </w:rPr>
      <w:t>7</w:t>
    </w:r>
    <w:r w:rsidRPr="00307227">
      <w:fldChar w:fldCharType="end"/>
    </w:r>
    <w:r w:rsidRPr="00307227">
      <w:t xml:space="preserve"> ~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5FB" w:rsidRDefault="00B445FB" w:rsidP="00294A31">
      <w:pPr>
        <w:spacing w:after="0" w:line="240" w:lineRule="auto"/>
      </w:pPr>
      <w:r>
        <w:separator/>
      </w:r>
    </w:p>
  </w:footnote>
  <w:footnote w:type="continuationSeparator" w:id="0">
    <w:p w:rsidR="00B445FB" w:rsidRDefault="00B445FB" w:rsidP="00294A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A31" w:rsidRPr="00EC3501" w:rsidRDefault="00294A31" w:rsidP="00294A31">
    <w:pPr>
      <w:pStyle w:val="Header"/>
      <w:pBdr>
        <w:between w:val="single" w:sz="4" w:space="1" w:color="4F81BD"/>
      </w:pBdr>
      <w:spacing w:line="276" w:lineRule="auto"/>
      <w:ind w:left="284"/>
      <w:jc w:val="center"/>
      <w:rPr>
        <w:rFonts w:ascii="Times New Roman" w:hAnsi="Times New Roman"/>
        <w:b/>
        <w:sz w:val="24"/>
        <w:szCs w:val="24"/>
        <w:lang w:val="bg-BG"/>
      </w:rPr>
    </w:pPr>
    <w:r w:rsidRPr="00EC3501">
      <w:rPr>
        <w:rFonts w:ascii="Times New Roman" w:hAnsi="Times New Roman"/>
        <w:b/>
        <w:color w:val="auto"/>
        <w:sz w:val="24"/>
        <w:szCs w:val="24"/>
        <w:lang w:val="bg-BG"/>
      </w:rPr>
      <w:t xml:space="preserve">ПРОГРАМА ЗА ОПАЗВАНЕ НА ОКОЛНАТА СРЕДА </w:t>
    </w:r>
    <w:r>
      <w:rPr>
        <w:rFonts w:ascii="Times New Roman" w:hAnsi="Times New Roman"/>
        <w:b/>
        <w:color w:val="auto"/>
        <w:sz w:val="24"/>
        <w:szCs w:val="24"/>
        <w:lang w:val="bg-BG"/>
      </w:rPr>
      <w:t>2018-2023</w:t>
    </w:r>
    <w:r w:rsidRPr="00EC3501">
      <w:rPr>
        <w:rFonts w:ascii="Times New Roman" w:hAnsi="Times New Roman"/>
        <w:b/>
        <w:color w:val="auto"/>
        <w:sz w:val="24"/>
        <w:szCs w:val="24"/>
        <w:lang w:val="bg-BG"/>
      </w:rPr>
      <w:t xml:space="preserve"> година</w:t>
    </w:r>
  </w:p>
  <w:p w:rsidR="00294A31" w:rsidRPr="00294A31" w:rsidRDefault="00294A31" w:rsidP="00B17B77">
    <w:pPr>
      <w:pStyle w:val="Header"/>
      <w:pBdr>
        <w:between w:val="single" w:sz="4" w:space="1" w:color="4F81BD"/>
      </w:pBdr>
      <w:spacing w:after="120" w:line="276" w:lineRule="auto"/>
      <w:ind w:left="284"/>
      <w:jc w:val="center"/>
      <w:rPr>
        <w:rFonts w:ascii="Times New Roman" w:hAnsi="Times New Roman"/>
        <w:sz w:val="24"/>
        <w:szCs w:val="24"/>
      </w:rPr>
    </w:pPr>
    <w:r w:rsidRPr="00EC3501">
      <w:rPr>
        <w:rFonts w:ascii="Times New Roman" w:hAnsi="Times New Roman"/>
        <w:color w:val="auto"/>
        <w:sz w:val="24"/>
        <w:szCs w:val="24"/>
        <w:lang w:val="bg-BG"/>
      </w:rPr>
      <w:t>ОБЩИНА РАЗГРАД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D6B09"/>
    <w:multiLevelType w:val="multilevel"/>
    <w:tmpl w:val="27D2FCC4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107B653F"/>
    <w:multiLevelType w:val="hybridMultilevel"/>
    <w:tmpl w:val="9634F6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25306"/>
    <w:multiLevelType w:val="multilevel"/>
    <w:tmpl w:val="B24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B214309"/>
    <w:multiLevelType w:val="hybridMultilevel"/>
    <w:tmpl w:val="BF663AC6"/>
    <w:lvl w:ilvl="0" w:tplc="48DED1E4">
      <w:start w:val="15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E1D437A"/>
    <w:multiLevelType w:val="hybridMultilevel"/>
    <w:tmpl w:val="83DE7BBE"/>
    <w:lvl w:ilvl="0" w:tplc="2D8E2F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E977E1"/>
    <w:multiLevelType w:val="multilevel"/>
    <w:tmpl w:val="3C420A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6" w15:restartNumberingAfterBreak="0">
    <w:nsid w:val="5E72015B"/>
    <w:multiLevelType w:val="hybridMultilevel"/>
    <w:tmpl w:val="83DE7BBE"/>
    <w:lvl w:ilvl="0" w:tplc="2D8E2F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B300C"/>
    <w:multiLevelType w:val="hybridMultilevel"/>
    <w:tmpl w:val="908A8D1A"/>
    <w:lvl w:ilvl="0" w:tplc="7B12D8BA">
      <w:start w:val="6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D5E402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276CD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2C5A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38A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4E48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563E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F6099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B615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0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6BE"/>
    <w:rsid w:val="00294A31"/>
    <w:rsid w:val="003A0549"/>
    <w:rsid w:val="006E36BE"/>
    <w:rsid w:val="00B17B77"/>
    <w:rsid w:val="00B445FB"/>
    <w:rsid w:val="00D7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A864D4D3-B363-4F54-A908-10EC66B2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6BE"/>
    <w:pPr>
      <w:spacing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6E36BE"/>
    <w:pPr>
      <w:ind w:left="720"/>
      <w:contextualSpacing/>
    </w:pPr>
  </w:style>
  <w:style w:type="paragraph" w:customStyle="1" w:styleId="unnamed1">
    <w:name w:val="unnamed1"/>
    <w:basedOn w:val="Normal"/>
    <w:rsid w:val="006E36B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color w:val="auto"/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unhideWhenUsed/>
    <w:rsid w:val="00294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4A31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Footer">
    <w:name w:val="footer"/>
    <w:aliases w:val="f"/>
    <w:basedOn w:val="Normal"/>
    <w:link w:val="FooterChar"/>
    <w:unhideWhenUsed/>
    <w:rsid w:val="00294A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294A31"/>
    <w:rPr>
      <w:rFonts w:ascii="Calibri" w:eastAsia="Calibri" w:hAnsi="Calibri" w:cs="Times New Roman"/>
      <w:color w:val="5A5A5A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7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T410</dc:creator>
  <cp:keywords/>
  <dc:description/>
  <cp:lastModifiedBy>T410</cp:lastModifiedBy>
  <cp:revision>3</cp:revision>
  <dcterms:created xsi:type="dcterms:W3CDTF">2019-01-29T20:50:00Z</dcterms:created>
  <dcterms:modified xsi:type="dcterms:W3CDTF">2019-01-29T21:16:00Z</dcterms:modified>
</cp:coreProperties>
</file>